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3C1379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15DB96DC" w:rsidR="00C05FF8" w:rsidRPr="00FB02EC" w:rsidRDefault="0004322E" w:rsidP="0004322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日本語表現２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6F781BFF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川越　勇二</w:t>
            </w:r>
          </w:p>
        </w:tc>
      </w:tr>
      <w:tr w:rsidR="005362FD" w:rsidRPr="00FB02EC" w14:paraId="38DB2B14" w14:textId="77777777" w:rsidTr="003C1379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4B82E75" w14:textId="47FA5215" w:rsidR="005362FD" w:rsidRPr="00FB02EC" w:rsidRDefault="0004322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kawagoe@sky.miyazaki.-mic.ac.jp</w:t>
            </w:r>
          </w:p>
        </w:tc>
      </w:tr>
      <w:tr w:rsidR="00C05FF8" w:rsidRPr="00FB02EC" w14:paraId="338CE94E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556B8C20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6FB98CAB" w:rsidR="00C05FF8" w:rsidRPr="00FB02EC" w:rsidRDefault="00F829EF" w:rsidP="00F829E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1DEC6862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JEX2</w:t>
            </w:r>
            <w:r w:rsidR="00BC197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22A28080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3C1379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2B115528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56A94E06" w:rsidR="00C05FF8" w:rsidRPr="00FB02EC" w:rsidRDefault="0004322E" w:rsidP="0004322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２年</w:t>
            </w:r>
          </w:p>
        </w:tc>
      </w:tr>
      <w:tr w:rsidR="003C1379" w:rsidRPr="00FB02EC" w14:paraId="303390FC" w14:textId="77777777" w:rsidTr="003C1379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605CB2FE" w:rsidR="003C1379" w:rsidRPr="00FB02EC" w:rsidRDefault="003C1379" w:rsidP="003C137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必修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C05FF8" w:rsidRPr="00FB02EC" w14:paraId="521A80D4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C05FF8" w:rsidRPr="00FB02EC" w:rsidRDefault="00C05FF8" w:rsidP="00DD74B3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70768AC3" w14:textId="1F635E06" w:rsidR="005C7405" w:rsidRPr="003939BE" w:rsidRDefault="005C7405" w:rsidP="005C7405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特質を理解する。【日本語への関心・理解】</w:t>
            </w:r>
          </w:p>
          <w:p w14:paraId="0EB65760" w14:textId="14281FD8" w:rsidR="005C7405" w:rsidRPr="003939BE" w:rsidRDefault="005C7405" w:rsidP="005C7405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表現できる。【表現方法の習得・活用】</w:t>
            </w:r>
          </w:p>
          <w:p w14:paraId="661F194D" w14:textId="4AF21F71" w:rsidR="00C05FF8" w:rsidRPr="00FB02EC" w:rsidRDefault="005C7405" w:rsidP="005C7405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C38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表現することを通じて、他者や社会とつながり、より良い生き方を探求する。【生き方の探求】</w:t>
            </w:r>
          </w:p>
        </w:tc>
      </w:tr>
      <w:tr w:rsidR="00C05FF8" w:rsidRPr="00FB02EC" w14:paraId="17598A17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2B86BFEF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 w:rsidRPr="003939BE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話題や題材を生かし、情報を分析しつつ、論理的思考ができる。　</w:t>
            </w:r>
          </w:p>
          <w:p w14:paraId="6B7E0BF0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(2)相手の立場や自分とは異なる考えを尊重し、意義ある討論を行い、論拠の妥当性を判断できる。</w:t>
            </w:r>
          </w:p>
          <w:p w14:paraId="5D9CE767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(3)論理の構成や描写の仕方などをさまざまに工夫して表現できる。</w:t>
            </w:r>
          </w:p>
          <w:p w14:paraId="676645F0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(4)日本語におけるさまざまな表現法を習得し、相手意識をもって話したり書いたりできる。</w:t>
            </w:r>
          </w:p>
          <w:p w14:paraId="5995FB20" w14:textId="77777777" w:rsidR="001F2BB6" w:rsidRPr="003939BE" w:rsidRDefault="001F2BB6" w:rsidP="001F2BB6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(5)読書の幅を広げ、読書に親しみ、自分の生き方を考えられる。</w:t>
            </w:r>
          </w:p>
          <w:p w14:paraId="184E8539" w14:textId="68BFC0BD" w:rsidR="00C05FF8" w:rsidRPr="00FB02EC" w:rsidRDefault="001F2BB6" w:rsidP="001F2BB6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(6)言語文化に対する関心を持ち、それらを尊重しつつより視野を広げる。</w:t>
            </w:r>
          </w:p>
        </w:tc>
      </w:tr>
      <w:tr w:rsidR="00C05FF8" w:rsidRPr="00FB02EC" w14:paraId="5BB4E7FA" w14:textId="77777777" w:rsidTr="001F2BB6">
        <w:trPr>
          <w:trHeight w:val="201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5FD3A652" w:rsidR="00C05FF8" w:rsidRPr="00FB02EC" w:rsidRDefault="001F2BB6" w:rsidP="001F2BB6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韻文の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鑑賞、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スピーチ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、文章講座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、日本語に関する研究発表等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やプレゼンテーション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、相互評価、自己評価（レポート）といった言語活動を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C05FF8" w:rsidRPr="00FB02EC" w14:paraId="15CE7E7E" w14:textId="77777777" w:rsidTr="001F2BB6">
        <w:trPr>
          <w:trHeight w:val="125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09FE6D4D" w:rsidR="00C05FF8" w:rsidRPr="00FB02EC" w:rsidRDefault="001F2BB6" w:rsidP="001F2BB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本講義は、学科のディプロマ・ポリシーに掲げる「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3939BE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</w:t>
            </w:r>
            <w:r w:rsidRPr="00393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４．日英両語における高度なコミュニケーション能力を身につけている。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」を育成する科目として配置している。</w:t>
            </w:r>
          </w:p>
        </w:tc>
      </w:tr>
      <w:tr w:rsidR="00C05FF8" w:rsidRPr="00FB02EC" w14:paraId="09ED7893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59EB0696" w14:textId="77777777" w:rsidR="00C05FF8" w:rsidRDefault="004275E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・講義には常に出席し、講義の時間に遅刻しない。</w:t>
            </w:r>
          </w:p>
          <w:p w14:paraId="268CFDB3" w14:textId="0CEE1325" w:rsidR="004275E0" w:rsidRPr="00FB02EC" w:rsidRDefault="004275E0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C05FF8" w:rsidRPr="00FB02EC" w14:paraId="1FD06FCF" w14:textId="77777777" w:rsidTr="00D14876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18B64CBD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第１回：授業概要説明　表現を味わう①（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1)(5)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24AAA9B5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第２回：表現を味わう②（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2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(4)(6)）</w:t>
            </w:r>
          </w:p>
          <w:p w14:paraId="423D3D53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第３回：語彙力（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目標(4)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42667850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第４回：敬語表現（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(4)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02262C3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第５回：文章表現①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(3)(4)(5)(6)）</w:t>
            </w:r>
            <w:bookmarkStart w:id="0" w:name="_GoBack"/>
            <w:bookmarkEnd w:id="0"/>
          </w:p>
          <w:p w14:paraId="7233BA8A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第６回：文章表現②（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(3)(4)(5)(5)）</w:t>
            </w:r>
          </w:p>
          <w:p w14:paraId="458828F5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第７回：文章表現③（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(3)(4)(5)(6)）</w:t>
            </w:r>
          </w:p>
          <w:p w14:paraId="13981D57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第８回：文章表現④（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)(4)(5)(6)）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4DAA6061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第９回：文章表現⑤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(1)(3)(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)(5)(6)）</w:t>
            </w:r>
          </w:p>
          <w:p w14:paraId="1C4057E9" w14:textId="071B8914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第１０回：日本語に関する研究発表およびディスカッション①（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6B7943FC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第１１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日本語に関する研究発表およびディスカッション②（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2631F92F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第１２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日本語に関する研究発表およびディスカッション③（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631436F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第１３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日本語に関する研究発表およびディスカッション④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0AF4DE7B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第１４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日本語に関する研究発表およびディスカッション⑤（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(2)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F07D066" w14:textId="77777777" w:rsidR="00E82482" w:rsidRPr="003939BE" w:rsidRDefault="00E82482" w:rsidP="00E8248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第１５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回： 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2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</w:t>
            </w:r>
            <w:r w:rsidRPr="003939BE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(6)</w:t>
            </w: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395F8079" w14:textId="32C518D5" w:rsidR="00C05FF8" w:rsidRPr="00FB02EC" w:rsidRDefault="00E82482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39B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定期試験：日本語表現に関する小論文</w:t>
            </w:r>
          </w:p>
        </w:tc>
      </w:tr>
      <w:tr w:rsidR="00C05FF8" w:rsidRPr="00FB02EC" w14:paraId="5C792011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学生に対する</w:t>
            </w:r>
          </w:p>
          <w:p w14:paraId="291D2D8B" w14:textId="3EFEEF1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7AEFE233" w14:textId="77777777" w:rsidR="00835E6E" w:rsidRDefault="00F829E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55B0C856" w14:textId="77777777" w:rsidR="00C05FF8" w:rsidRDefault="00835E6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なお、</w:t>
            </w:r>
            <w:r w:rsidR="003C2F8E">
              <w:rPr>
                <w:rFonts w:ascii="Times New Roman" w:hAnsi="Times New Roman" w:cs="Times New Roman" w:hint="eastAsia"/>
                <w:sz w:val="18"/>
                <w:szCs w:val="18"/>
              </w:rPr>
              <w:t>レポート・答案等の提出物へのフィードバックについては、以下の方法による。</w:t>
            </w:r>
          </w:p>
          <w:p w14:paraId="51EF76FD" w14:textId="77777777" w:rsidR="003C2F8E" w:rsidRDefault="003C2F8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・コメントを記載して返却する。</w:t>
            </w:r>
          </w:p>
          <w:p w14:paraId="37960DB5" w14:textId="77777777" w:rsidR="003C2F8E" w:rsidRDefault="003C2F8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77E45A8" w:rsidR="003C2F8E" w:rsidRPr="00FB02EC" w:rsidRDefault="003C2F8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・答案例を提示する。</w:t>
            </w:r>
          </w:p>
        </w:tc>
      </w:tr>
      <w:tr w:rsidR="00C05FF8" w:rsidRPr="00FB02EC" w14:paraId="7786B022" w14:textId="77777777" w:rsidTr="00C15E87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C05FF8" w:rsidRPr="00FB02EC" w:rsidRDefault="00C05FF8" w:rsidP="00C05FF8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5ADAAC07" w14:textId="77777777" w:rsidR="00C05FF8" w:rsidRDefault="00F829EF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565FBB01" w14:textId="5E0A75DD" w:rsidR="00F829EF" w:rsidRDefault="00F829EF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・ディベートや発表の</w:t>
            </w:r>
            <w:r w:rsidR="00D14876">
              <w:rPr>
                <w:rFonts w:ascii="Times New Roman" w:hAnsi="Times New Roman" w:cs="Times New Roman" w:hint="eastAsia"/>
                <w:sz w:val="18"/>
                <w:szCs w:val="18"/>
              </w:rPr>
              <w:t>準備を周到に行うこと。</w:t>
            </w:r>
          </w:p>
          <w:p w14:paraId="3683C0C2" w14:textId="44E3A860" w:rsidR="00F829EF" w:rsidRPr="00FB02EC" w:rsidRDefault="00F829EF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="004275E0">
              <w:rPr>
                <w:rFonts w:ascii="Times New Roman" w:hAnsi="Times New Roman" w:cs="Times New Roman"/>
                <w:sz w:val="18"/>
                <w:szCs w:val="18"/>
              </w:rPr>
              <w:t>事後学習として、単元ごとに課されるレポートを提出すること。</w:t>
            </w:r>
          </w:p>
        </w:tc>
      </w:tr>
      <w:tr w:rsidR="00C05FF8" w:rsidRPr="00FB02EC" w14:paraId="5D67BB64" w14:textId="77777777" w:rsidTr="00C15E87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312646F1" w:rsidR="00C05FF8" w:rsidRPr="00FB02EC" w:rsidRDefault="00F829E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授業時に適宜教材・資料を配布する。</w:t>
            </w:r>
          </w:p>
        </w:tc>
      </w:tr>
      <w:tr w:rsidR="00C05FF8" w:rsidRPr="00FB02EC" w14:paraId="1534C4C8" w14:textId="77777777" w:rsidTr="00C15E87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C05FF8" w:rsidRPr="008B0797" w:rsidRDefault="00C05FF8" w:rsidP="00C05FF8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13EBAE59" w:rsidR="00C05FF8" w:rsidRPr="00FB02EC" w:rsidRDefault="00F829E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759F" w14:textId="77777777" w:rsidR="00C0456F" w:rsidRDefault="00C0456F" w:rsidP="001C5D1D">
      <w:r>
        <w:separator/>
      </w:r>
    </w:p>
  </w:endnote>
  <w:endnote w:type="continuationSeparator" w:id="0">
    <w:p w14:paraId="1611F1A9" w14:textId="77777777" w:rsidR="00C0456F" w:rsidRDefault="00C0456F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EFD9" w14:textId="77777777" w:rsidR="00C0456F" w:rsidRDefault="00C0456F" w:rsidP="001C5D1D">
      <w:r>
        <w:separator/>
      </w:r>
    </w:p>
  </w:footnote>
  <w:footnote w:type="continuationSeparator" w:id="0">
    <w:p w14:paraId="5CD2496D" w14:textId="77777777" w:rsidR="00C0456F" w:rsidRDefault="00C0456F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322E"/>
    <w:rsid w:val="000A6C47"/>
    <w:rsid w:val="000D32B7"/>
    <w:rsid w:val="000F42A7"/>
    <w:rsid w:val="001202AE"/>
    <w:rsid w:val="0014566E"/>
    <w:rsid w:val="00150437"/>
    <w:rsid w:val="001661A6"/>
    <w:rsid w:val="001A347B"/>
    <w:rsid w:val="001C5D1D"/>
    <w:rsid w:val="001F2BB6"/>
    <w:rsid w:val="00217088"/>
    <w:rsid w:val="00237A48"/>
    <w:rsid w:val="0024772B"/>
    <w:rsid w:val="00266716"/>
    <w:rsid w:val="002A5B7D"/>
    <w:rsid w:val="002E74EA"/>
    <w:rsid w:val="002F4120"/>
    <w:rsid w:val="00310862"/>
    <w:rsid w:val="00324798"/>
    <w:rsid w:val="003271E9"/>
    <w:rsid w:val="003305F4"/>
    <w:rsid w:val="00342F10"/>
    <w:rsid w:val="00385F35"/>
    <w:rsid w:val="003B2BAD"/>
    <w:rsid w:val="003C1379"/>
    <w:rsid w:val="003C2F8E"/>
    <w:rsid w:val="00402CAC"/>
    <w:rsid w:val="004275E0"/>
    <w:rsid w:val="00442101"/>
    <w:rsid w:val="00460BCB"/>
    <w:rsid w:val="00470346"/>
    <w:rsid w:val="0047456A"/>
    <w:rsid w:val="004E23FC"/>
    <w:rsid w:val="0050486B"/>
    <w:rsid w:val="00530DF3"/>
    <w:rsid w:val="005362FD"/>
    <w:rsid w:val="00573794"/>
    <w:rsid w:val="005C3845"/>
    <w:rsid w:val="005C7405"/>
    <w:rsid w:val="005C7A6E"/>
    <w:rsid w:val="005D0708"/>
    <w:rsid w:val="005E5B6E"/>
    <w:rsid w:val="00617462"/>
    <w:rsid w:val="0062350A"/>
    <w:rsid w:val="006328B3"/>
    <w:rsid w:val="00657999"/>
    <w:rsid w:val="00682781"/>
    <w:rsid w:val="006914C4"/>
    <w:rsid w:val="006D30D0"/>
    <w:rsid w:val="006D5212"/>
    <w:rsid w:val="006E3A1B"/>
    <w:rsid w:val="006E55BC"/>
    <w:rsid w:val="0073285B"/>
    <w:rsid w:val="00754413"/>
    <w:rsid w:val="0077028B"/>
    <w:rsid w:val="00770F33"/>
    <w:rsid w:val="007E17AA"/>
    <w:rsid w:val="007F5533"/>
    <w:rsid w:val="00800053"/>
    <w:rsid w:val="00807035"/>
    <w:rsid w:val="00810D47"/>
    <w:rsid w:val="008327FE"/>
    <w:rsid w:val="00835E6E"/>
    <w:rsid w:val="008577D8"/>
    <w:rsid w:val="00890FE3"/>
    <w:rsid w:val="008B0797"/>
    <w:rsid w:val="008B662C"/>
    <w:rsid w:val="00902A0E"/>
    <w:rsid w:val="009758A1"/>
    <w:rsid w:val="00986ECE"/>
    <w:rsid w:val="009D6EF1"/>
    <w:rsid w:val="009F5FEE"/>
    <w:rsid w:val="00A03425"/>
    <w:rsid w:val="00A3291B"/>
    <w:rsid w:val="00A55459"/>
    <w:rsid w:val="00A708A9"/>
    <w:rsid w:val="00A70A3A"/>
    <w:rsid w:val="00A8057D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744EB"/>
    <w:rsid w:val="00B81C9C"/>
    <w:rsid w:val="00B962F5"/>
    <w:rsid w:val="00BC1978"/>
    <w:rsid w:val="00BD6047"/>
    <w:rsid w:val="00BE2B52"/>
    <w:rsid w:val="00BE3409"/>
    <w:rsid w:val="00C0005E"/>
    <w:rsid w:val="00C030B7"/>
    <w:rsid w:val="00C0456F"/>
    <w:rsid w:val="00C05FF8"/>
    <w:rsid w:val="00C15E87"/>
    <w:rsid w:val="00C22258"/>
    <w:rsid w:val="00C51313"/>
    <w:rsid w:val="00C70AF3"/>
    <w:rsid w:val="00C7656C"/>
    <w:rsid w:val="00C91001"/>
    <w:rsid w:val="00CA1CB3"/>
    <w:rsid w:val="00D14876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2482"/>
    <w:rsid w:val="00E969DC"/>
    <w:rsid w:val="00EB3903"/>
    <w:rsid w:val="00EE1814"/>
    <w:rsid w:val="00F00F80"/>
    <w:rsid w:val="00F14BBA"/>
    <w:rsid w:val="00F31CE5"/>
    <w:rsid w:val="00F511B1"/>
    <w:rsid w:val="00F5126E"/>
    <w:rsid w:val="00F806B9"/>
    <w:rsid w:val="00F829EF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4</cp:revision>
  <cp:lastPrinted>2021-09-29T03:57:00Z</cp:lastPrinted>
  <dcterms:created xsi:type="dcterms:W3CDTF">2022-04-06T01:29:00Z</dcterms:created>
  <dcterms:modified xsi:type="dcterms:W3CDTF">2022-04-06T01:35:00Z</dcterms:modified>
</cp:coreProperties>
</file>