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266"/>
        <w:gridCol w:w="447"/>
        <w:gridCol w:w="3107"/>
        <w:gridCol w:w="1559"/>
        <w:gridCol w:w="476"/>
        <w:gridCol w:w="2959"/>
      </w:tblGrid>
      <w:tr w:rsidR="003A56AC" w:rsidRPr="00FB02EC" w14:paraId="2E975EF0" w14:textId="77777777" w:rsidTr="002816E4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3196407C" w:rsidR="003A56AC" w:rsidRPr="00361B97" w:rsidRDefault="003A56AC" w:rsidP="003A56AC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授業科目名</w:t>
            </w:r>
          </w:p>
        </w:tc>
        <w:tc>
          <w:tcPr>
            <w:tcW w:w="3554" w:type="dxa"/>
            <w:gridSpan w:val="2"/>
            <w:vMerge w:val="restart"/>
            <w:vAlign w:val="center"/>
          </w:tcPr>
          <w:p w14:paraId="3167FEA0" w14:textId="3DED8818" w:rsidR="003A56AC" w:rsidRPr="0038779A" w:rsidRDefault="003A56AC" w:rsidP="003A56AC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 w:hint="eastAsia"/>
                <w:sz w:val="20"/>
                <w:szCs w:val="20"/>
              </w:rPr>
            </w:pPr>
            <w:r>
              <w:rPr>
                <w:rFonts w:ascii="Helvetica" w:hAnsi="Helvetica" w:cs="Times New Roman" w:hint="eastAsia"/>
                <w:sz w:val="20"/>
                <w:szCs w:val="20"/>
              </w:rPr>
              <w:t>異文化間コミュニケーションの理解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7DA00009" w14:textId="30D0F029" w:rsidR="003A56AC" w:rsidRPr="000B5B32" w:rsidRDefault="003A56AC" w:rsidP="003A56AC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担当教員名</w:t>
            </w:r>
          </w:p>
        </w:tc>
        <w:tc>
          <w:tcPr>
            <w:tcW w:w="2959" w:type="dxa"/>
            <w:vAlign w:val="center"/>
          </w:tcPr>
          <w:p w14:paraId="077BAC8D" w14:textId="17686D4B" w:rsidR="003A56AC" w:rsidRPr="00095699" w:rsidRDefault="003A56AC" w:rsidP="003A56AC">
            <w:pPr>
              <w:autoSpaceDE w:val="0"/>
              <w:autoSpaceDN w:val="0"/>
              <w:jc w:val="left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proofErr w:type="spellStart"/>
            <w:r w:rsidRPr="00EA72CF">
              <w:rPr>
                <w:rFonts w:ascii="Helvetica" w:eastAsia="ＭＳ ゴシック" w:hAnsi="Helvetica" w:cs="Times New Roman"/>
                <w:sz w:val="18"/>
                <w:szCs w:val="18"/>
              </w:rPr>
              <w:t>Cathrine</w:t>
            </w:r>
            <w:proofErr w:type="spellEnd"/>
            <w:r w:rsidRPr="00EA72CF">
              <w:rPr>
                <w:rFonts w:ascii="Helvetica" w:eastAsia="ＭＳ ゴシック" w:hAnsi="Helvetica" w:cs="Times New Roman"/>
                <w:sz w:val="18"/>
                <w:szCs w:val="18"/>
              </w:rPr>
              <w:t xml:space="preserve">-Mette </w:t>
            </w:r>
            <w:proofErr w:type="spellStart"/>
            <w:r w:rsidRPr="00EA72CF">
              <w:rPr>
                <w:rFonts w:ascii="Helvetica" w:eastAsia="ＭＳ ゴシック" w:hAnsi="Helvetica" w:cs="Times New Roman"/>
                <w:sz w:val="18"/>
                <w:szCs w:val="18"/>
              </w:rPr>
              <w:t>Mork</w:t>
            </w:r>
            <w:proofErr w:type="spellEnd"/>
          </w:p>
        </w:tc>
      </w:tr>
      <w:tr w:rsidR="003A56AC" w:rsidRPr="00FB02EC" w14:paraId="38DB2B14" w14:textId="77777777" w:rsidTr="002816E4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3A56AC" w:rsidRPr="00FB02EC" w:rsidRDefault="003A56AC" w:rsidP="003A56A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554" w:type="dxa"/>
            <w:gridSpan w:val="2"/>
            <w:vMerge/>
            <w:vAlign w:val="center"/>
          </w:tcPr>
          <w:p w14:paraId="242D877B" w14:textId="77777777" w:rsidR="003A56AC" w:rsidRPr="00FB02EC" w:rsidRDefault="003A56AC" w:rsidP="003A56AC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01B34058" w14:textId="78547462" w:rsidR="003A56AC" w:rsidRPr="000B5B32" w:rsidRDefault="003A56AC" w:rsidP="003A56AC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E-mail</w:t>
            </w:r>
          </w:p>
        </w:tc>
        <w:tc>
          <w:tcPr>
            <w:tcW w:w="2959" w:type="dxa"/>
            <w:vAlign w:val="center"/>
          </w:tcPr>
          <w:p w14:paraId="54B82E75" w14:textId="4FD6EE83" w:rsidR="003A56AC" w:rsidRPr="00057937" w:rsidRDefault="003A56AC" w:rsidP="003A56AC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2CF">
              <w:rPr>
                <w:rFonts w:ascii="Helvetica" w:hAnsi="Helvetica"/>
                <w:sz w:val="18"/>
                <w:szCs w:val="18"/>
              </w:rPr>
              <w:t>cmork@sky.miyazaki-mic.ac.jp</w:t>
            </w:r>
          </w:p>
        </w:tc>
      </w:tr>
      <w:tr w:rsidR="00572080" w:rsidRPr="00FB02EC" w14:paraId="338CE94E" w14:textId="77777777" w:rsidTr="002816E4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6C589D04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授業形態</w:t>
            </w:r>
          </w:p>
        </w:tc>
        <w:tc>
          <w:tcPr>
            <w:tcW w:w="3554" w:type="dxa"/>
            <w:gridSpan w:val="2"/>
            <w:vAlign w:val="center"/>
          </w:tcPr>
          <w:p w14:paraId="77B6CA7B" w14:textId="0A6AA919" w:rsidR="006620F4" w:rsidRPr="00057937" w:rsidRDefault="00CF3DB9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講義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3A82B9F5" w14:textId="57FB6AD3" w:rsidR="000B5B32" w:rsidRPr="00057937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オフィスアワー</w:t>
            </w:r>
          </w:p>
        </w:tc>
        <w:tc>
          <w:tcPr>
            <w:tcW w:w="2959" w:type="dxa"/>
            <w:vAlign w:val="center"/>
          </w:tcPr>
          <w:p w14:paraId="74170E4F" w14:textId="66A55E4A" w:rsidR="00C05FF8" w:rsidRPr="00057937" w:rsidRDefault="003A56AC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月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曜日　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１・２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時間目</w:t>
            </w:r>
          </w:p>
        </w:tc>
      </w:tr>
      <w:tr w:rsidR="00572080" w:rsidRPr="00FB02EC" w14:paraId="572317D9" w14:textId="77777777" w:rsidTr="002816E4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308E1D7A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コース</w:t>
            </w:r>
          </w:p>
        </w:tc>
        <w:tc>
          <w:tcPr>
            <w:tcW w:w="3554" w:type="dxa"/>
            <w:gridSpan w:val="2"/>
            <w:vAlign w:val="center"/>
          </w:tcPr>
          <w:p w14:paraId="70891E5C" w14:textId="2EEF45E0" w:rsidR="00C05FF8" w:rsidRPr="00057937" w:rsidRDefault="00CF3DB9" w:rsidP="00C05FF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英語教育コース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575EB445" w14:textId="2B7CA3F0" w:rsidR="000B5B32" w:rsidRPr="00057937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授業体制</w:t>
            </w:r>
          </w:p>
        </w:tc>
        <w:tc>
          <w:tcPr>
            <w:tcW w:w="2959" w:type="dxa"/>
            <w:vAlign w:val="center"/>
          </w:tcPr>
          <w:p w14:paraId="6F8B8967" w14:textId="5A474D28" w:rsidR="009701B9" w:rsidRPr="00057937" w:rsidRDefault="00CF3DB9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単独</w:t>
            </w:r>
          </w:p>
        </w:tc>
      </w:tr>
      <w:tr w:rsidR="00572080" w:rsidRPr="00FB02EC" w14:paraId="4C5F84CA" w14:textId="77777777" w:rsidTr="002816E4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4F297D44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単位</w:t>
            </w:r>
          </w:p>
        </w:tc>
        <w:tc>
          <w:tcPr>
            <w:tcW w:w="3554" w:type="dxa"/>
            <w:gridSpan w:val="2"/>
            <w:vAlign w:val="center"/>
          </w:tcPr>
          <w:p w14:paraId="32574A92" w14:textId="14EDECAD" w:rsidR="00C05FF8" w:rsidRPr="00057937" w:rsidRDefault="00002FF2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59D496E2" w14:textId="5864693E" w:rsidR="00822335" w:rsidRPr="00057937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配当</w:t>
            </w:r>
            <w:r w:rsidR="006B6847" w:rsidRPr="0005793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年次　</w:t>
            </w:r>
          </w:p>
        </w:tc>
        <w:tc>
          <w:tcPr>
            <w:tcW w:w="2959" w:type="dxa"/>
            <w:vAlign w:val="center"/>
          </w:tcPr>
          <w:p w14:paraId="14639BDF" w14:textId="7C6EE162" w:rsidR="006620F4" w:rsidRPr="00057937" w:rsidRDefault="0038779A" w:rsidP="002441C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年次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後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期</w:t>
            </w:r>
          </w:p>
        </w:tc>
      </w:tr>
      <w:tr w:rsidR="00572080" w:rsidRPr="00FB02EC" w14:paraId="303390FC" w14:textId="77777777" w:rsidTr="002816E4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D9B06D0" w:rsidR="00395857" w:rsidRPr="006B6847" w:rsidRDefault="00873130" w:rsidP="006B6847">
            <w:pPr>
              <w:autoSpaceDE w:val="0"/>
              <w:autoSpaceDN w:val="0"/>
              <w:rPr>
                <w:rFonts w:ascii="Helvetica" w:hAnsi="Helvetica" w:cs="Times New Roman"/>
                <w:b/>
                <w:bCs/>
                <w:color w:val="FF0000"/>
                <w:sz w:val="16"/>
                <w:szCs w:val="16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6"/>
                <w:szCs w:val="16"/>
              </w:rPr>
              <w:t>アクティヴ・ラーニング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14:paraId="1599D2FB" w14:textId="77777777" w:rsidR="00EA182D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1-(5)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ジャナールライティング</w:t>
            </w:r>
          </w:p>
          <w:p w14:paraId="493F975D" w14:textId="77777777" w:rsidR="00EA182D" w:rsidRPr="001C7CFF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4-(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2</w:t>
            </w: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C7CFF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ファシリテートされたディスカッション</w:t>
            </w:r>
          </w:p>
          <w:p w14:paraId="0C21761C" w14:textId="279E9CC2" w:rsidR="00817DD4" w:rsidRPr="00817DD4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7DD4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4</w:t>
            </w: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-(10) </w:t>
            </w:r>
            <w:r w:rsidRPr="00817DD4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ペアやグループで考えてシェア</w:t>
            </w:r>
          </w:p>
        </w:tc>
        <w:tc>
          <w:tcPr>
            <w:tcW w:w="2035" w:type="dxa"/>
            <w:gridSpan w:val="2"/>
            <w:shd w:val="clear" w:color="auto" w:fill="D9E2F3" w:themeFill="accent5" w:themeFillTint="33"/>
            <w:vAlign w:val="center"/>
          </w:tcPr>
          <w:p w14:paraId="7ABCBFD3" w14:textId="358D6BC5" w:rsidR="00395857" w:rsidRPr="00057937" w:rsidRDefault="00873130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必修・選択</w:t>
            </w:r>
          </w:p>
        </w:tc>
        <w:tc>
          <w:tcPr>
            <w:tcW w:w="2959" w:type="dxa"/>
            <w:vAlign w:val="center"/>
          </w:tcPr>
          <w:p w14:paraId="31C3662D" w14:textId="11C483A8" w:rsidR="00395857" w:rsidRPr="00057937" w:rsidRDefault="00CF3DB9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3A56A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選択</w:t>
            </w:r>
          </w:p>
        </w:tc>
      </w:tr>
      <w:tr w:rsidR="00EA182D" w:rsidRPr="00FB02EC" w14:paraId="17598A17" w14:textId="77777777" w:rsidTr="00126EE7">
        <w:trPr>
          <w:trHeight w:val="1079"/>
        </w:trPr>
        <w:tc>
          <w:tcPr>
            <w:tcW w:w="1266" w:type="dxa"/>
            <w:shd w:val="clear" w:color="auto" w:fill="D9E2F3" w:themeFill="accent5" w:themeFillTint="33"/>
          </w:tcPr>
          <w:p w14:paraId="5DCD2765" w14:textId="5546F66B" w:rsidR="00EA182D" w:rsidRPr="00822335" w:rsidRDefault="00EA182D" w:rsidP="00EA182D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授業概要</w:t>
            </w:r>
          </w:p>
        </w:tc>
        <w:tc>
          <w:tcPr>
            <w:tcW w:w="8548" w:type="dxa"/>
            <w:gridSpan w:val="5"/>
            <w:vAlign w:val="center"/>
          </w:tcPr>
          <w:p w14:paraId="184E8539" w14:textId="6A3FC307" w:rsidR="00EA182D" w:rsidRPr="00D00B1D" w:rsidRDefault="00EA182D" w:rsidP="00EA182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937">
              <w:rPr>
                <w:rFonts w:ascii="Times New Roman" w:hAnsi="Times New Roman" w:cs="Times New Roman" w:hint="eastAsia"/>
                <w:sz w:val="20"/>
                <w:szCs w:val="20"/>
              </w:rPr>
              <w:t>中学校及び高等学校の英語の授業に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必要とされる異文化</w:t>
            </w:r>
            <w:r w:rsidR="00126EE7">
              <w:rPr>
                <w:rFonts w:ascii="Times New Roman" w:hAnsi="Times New Roman" w:cs="Times New Roman" w:hint="eastAsia"/>
                <w:sz w:val="20"/>
                <w:szCs w:val="20"/>
              </w:rPr>
              <w:t>間コミュニケーション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に関する基本的な知識</w:t>
            </w:r>
            <w:r w:rsidR="00126EE7">
              <w:rPr>
                <w:rFonts w:ascii="Times New Roman" w:hAnsi="Times New Roman" w:cs="Times New Roman" w:hint="eastAsia"/>
                <w:sz w:val="20"/>
                <w:szCs w:val="20"/>
              </w:rPr>
              <w:t>を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養うことを目的とする。テキストの読解、ビデオ視聴、タスク活動などの活動を通じて、英語による表現力を育成するとともに、アクティブラーニングを取り入れ、学生が主体的に異文化</w:t>
            </w:r>
            <w:r w:rsidR="00126EE7">
              <w:rPr>
                <w:rFonts w:ascii="Times New Roman" w:hAnsi="Times New Roman" w:cs="Times New Roman" w:hint="eastAsia"/>
                <w:sz w:val="20"/>
                <w:szCs w:val="20"/>
              </w:rPr>
              <w:t>間でのコミュニケーション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に関しての理解</w:t>
            </w:r>
            <w:r w:rsidR="00126EE7">
              <w:rPr>
                <w:rFonts w:ascii="Times New Roman" w:hAnsi="Times New Roman" w:cs="Times New Roman" w:hint="eastAsia"/>
                <w:sz w:val="20"/>
                <w:szCs w:val="20"/>
              </w:rPr>
              <w:t>と経験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を深めるようにする。</w:t>
            </w:r>
          </w:p>
        </w:tc>
      </w:tr>
      <w:tr w:rsidR="00EA182D" w:rsidRPr="00FB02EC" w14:paraId="5BB4E7FA" w14:textId="77777777" w:rsidTr="00126EE7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6113588A" w14:textId="4D2CD644" w:rsidR="00EA182D" w:rsidRPr="009F3088" w:rsidRDefault="00EA182D" w:rsidP="00EA182D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到達目標</w:t>
            </w:r>
          </w:p>
        </w:tc>
        <w:tc>
          <w:tcPr>
            <w:tcW w:w="8548" w:type="dxa"/>
            <w:gridSpan w:val="5"/>
          </w:tcPr>
          <w:p w14:paraId="6BB45182" w14:textId="280B47F5" w:rsidR="00EA182D" w:rsidRPr="00AE270F" w:rsidRDefault="00EA182D" w:rsidP="00EA182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20"/>
                <w:szCs w:val="20"/>
              </w:rPr>
            </w:pPr>
            <w:r w:rsidRPr="00AE270F">
              <w:rPr>
                <w:rFonts w:ascii="Helvetica" w:hAnsi="Helvetica" w:cs="Times New Roman" w:hint="eastAsia"/>
                <w:sz w:val="20"/>
                <w:szCs w:val="20"/>
              </w:rPr>
              <w:t>世界の文化の多様性を理解し、異文化</w:t>
            </w:r>
            <w:r w:rsidR="00126EE7">
              <w:rPr>
                <w:rFonts w:ascii="Helvetica" w:hAnsi="Helvetica" w:cs="Times New Roman" w:hint="eastAsia"/>
                <w:sz w:val="20"/>
                <w:szCs w:val="20"/>
              </w:rPr>
              <w:t>間コミュニケーション</w:t>
            </w:r>
            <w:r w:rsidRPr="00AE270F">
              <w:rPr>
                <w:rFonts w:ascii="Helvetica" w:hAnsi="Helvetica" w:cs="Times New Roman" w:hint="eastAsia"/>
                <w:sz w:val="20"/>
                <w:szCs w:val="20"/>
              </w:rPr>
              <w:t>の重要性について理解</w:t>
            </w:r>
            <w:r w:rsidR="00126EE7">
              <w:rPr>
                <w:rFonts w:ascii="Helvetica" w:hAnsi="Helvetica" w:cs="Times New Roman" w:hint="eastAsia"/>
                <w:sz w:val="20"/>
                <w:szCs w:val="20"/>
              </w:rPr>
              <w:t>し実践できる。</w:t>
            </w:r>
          </w:p>
          <w:p w14:paraId="62EC4AFD" w14:textId="3688CBF9" w:rsidR="00EA182D" w:rsidRPr="00AE270F" w:rsidRDefault="00EA182D" w:rsidP="00EA182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 w:rsidRPr="00AE270F">
              <w:rPr>
                <w:rFonts w:ascii="Helvetica" w:hAnsi="Helvetica" w:cs="Times New Roman" w:hint="eastAsia"/>
                <w:sz w:val="20"/>
                <w:szCs w:val="20"/>
              </w:rPr>
              <w:t>様々な国の歴史、文化について基本的な内容が理解でき</w:t>
            </w:r>
            <w:r w:rsidR="00126EE7">
              <w:rPr>
                <w:rFonts w:ascii="Helvetica" w:hAnsi="Helvetica" w:cs="Times New Roman" w:hint="eastAsia"/>
                <w:sz w:val="20"/>
                <w:szCs w:val="20"/>
              </w:rPr>
              <w:t>ている。</w:t>
            </w:r>
          </w:p>
          <w:p w14:paraId="1A4171BC" w14:textId="169A10FB" w:rsidR="00EA182D" w:rsidRPr="00126EE7" w:rsidRDefault="00EA182D" w:rsidP="00126EE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 w:rsidRPr="00126EE7">
              <w:rPr>
                <w:rFonts w:ascii="Helvetica" w:hAnsi="Helvetica" w:cs="Times New Roman" w:hint="eastAsia"/>
                <w:sz w:val="20"/>
                <w:szCs w:val="20"/>
              </w:rPr>
              <w:t>異文化</w:t>
            </w:r>
            <w:r w:rsidR="00126EE7">
              <w:rPr>
                <w:rFonts w:ascii="Helvetica" w:hAnsi="Helvetica" w:cs="Times New Roman" w:hint="eastAsia"/>
                <w:sz w:val="20"/>
                <w:szCs w:val="20"/>
              </w:rPr>
              <w:t>間コミュニケーション</w:t>
            </w:r>
            <w:r w:rsidRPr="00126EE7">
              <w:rPr>
                <w:rFonts w:ascii="Helvetica" w:hAnsi="Helvetica" w:cs="Times New Roman" w:hint="eastAsia"/>
                <w:sz w:val="20"/>
                <w:szCs w:val="20"/>
              </w:rPr>
              <w:t>に関する英語のエッセイを読み、それに対して論理的に英語レポートを書くことができる。</w:t>
            </w:r>
          </w:p>
        </w:tc>
      </w:tr>
      <w:tr w:rsidR="00EA182D" w:rsidRPr="00FB02EC" w14:paraId="15CE7E7E" w14:textId="77777777" w:rsidTr="00126EE7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BEC1DC4" w:rsidR="00EA182D" w:rsidRPr="00822335" w:rsidRDefault="00EA182D" w:rsidP="00EA182D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受講条件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67A15748" w:rsidR="00EA182D" w:rsidRPr="00FB02EC" w:rsidRDefault="00EA182D" w:rsidP="00EA182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82D" w:rsidRPr="00FB02EC" w14:paraId="09ED7893" w14:textId="77777777" w:rsidTr="00126EE7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  <w:p w14:paraId="3CBFD64C" w14:textId="37444AFF" w:rsidR="00EA182D" w:rsidRPr="00822335" w:rsidRDefault="00EA182D" w:rsidP="00EA182D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授業計画</w:t>
            </w:r>
          </w:p>
        </w:tc>
        <w:tc>
          <w:tcPr>
            <w:tcW w:w="447" w:type="dxa"/>
            <w:vAlign w:val="center"/>
          </w:tcPr>
          <w:p w14:paraId="3F4D8581" w14:textId="79978D17" w:rsidR="00EA182D" w:rsidRDefault="00EA182D" w:rsidP="00EA182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4666" w:type="dxa"/>
            <w:gridSpan w:val="2"/>
            <w:vAlign w:val="center"/>
          </w:tcPr>
          <w:p w14:paraId="4C5DA346" w14:textId="1D4D28AA" w:rsidR="00EA182D" w:rsidRPr="006B6847" w:rsidRDefault="00EA182D" w:rsidP="00EA182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435" w:type="dxa"/>
            <w:gridSpan w:val="2"/>
            <w:vAlign w:val="center"/>
          </w:tcPr>
          <w:p w14:paraId="268CFDB3" w14:textId="02100AED" w:rsidR="00EA182D" w:rsidRPr="006B6847" w:rsidRDefault="00EA182D" w:rsidP="00EA182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授業外学習</w:t>
            </w:r>
          </w:p>
        </w:tc>
      </w:tr>
      <w:tr w:rsidR="00EA182D" w:rsidRPr="00240245" w14:paraId="57E2473E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66" w:type="dxa"/>
            <w:gridSpan w:val="2"/>
            <w:vAlign w:val="center"/>
          </w:tcPr>
          <w:p w14:paraId="736AACD3" w14:textId="380E8B1D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イントロダクション</w:t>
            </w:r>
          </w:p>
        </w:tc>
        <w:tc>
          <w:tcPr>
            <w:tcW w:w="3435" w:type="dxa"/>
            <w:gridSpan w:val="2"/>
            <w:vAlign w:val="center"/>
          </w:tcPr>
          <w:p w14:paraId="6C000590" w14:textId="725404AF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異文化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間コミュニケーション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の基本問題の解答</w:t>
            </w:r>
          </w:p>
        </w:tc>
      </w:tr>
      <w:tr w:rsidR="00EA182D" w:rsidRPr="00240245" w14:paraId="028C2F28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66" w:type="dxa"/>
            <w:gridSpan w:val="2"/>
            <w:vAlign w:val="center"/>
          </w:tcPr>
          <w:p w14:paraId="67085A31" w14:textId="627551ED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1: Communication</w:t>
            </w:r>
          </w:p>
        </w:tc>
        <w:tc>
          <w:tcPr>
            <w:tcW w:w="3435" w:type="dxa"/>
            <w:gridSpan w:val="2"/>
            <w:vAlign w:val="center"/>
          </w:tcPr>
          <w:p w14:paraId="45E8798F" w14:textId="32383D47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ジャーナルの作成</w:t>
            </w:r>
          </w:p>
        </w:tc>
      </w:tr>
      <w:tr w:rsidR="00EA182D" w:rsidRPr="00240245" w14:paraId="2CA54DA5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66" w:type="dxa"/>
            <w:gridSpan w:val="2"/>
            <w:vAlign w:val="center"/>
          </w:tcPr>
          <w:p w14:paraId="62DA13BB" w14:textId="2D58CD77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2: Culture (</w:t>
            </w:r>
            <w:r w:rsidR="000A09D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定義とモデル</w:t>
            </w:r>
            <w:r w:rsidR="000A09D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35" w:type="dxa"/>
            <w:gridSpan w:val="2"/>
            <w:vAlign w:val="center"/>
          </w:tcPr>
          <w:p w14:paraId="45782161" w14:textId="329393FA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</w:p>
        </w:tc>
      </w:tr>
      <w:tr w:rsidR="00EA182D" w:rsidRPr="00240245" w14:paraId="5D9EAA1C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66" w:type="dxa"/>
            <w:gridSpan w:val="2"/>
            <w:vAlign w:val="center"/>
          </w:tcPr>
          <w:p w14:paraId="4BBF9103" w14:textId="07D298D0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3: Nonverbal communication</w:t>
            </w:r>
          </w:p>
        </w:tc>
        <w:tc>
          <w:tcPr>
            <w:tcW w:w="3435" w:type="dxa"/>
            <w:gridSpan w:val="2"/>
            <w:vAlign w:val="center"/>
          </w:tcPr>
          <w:p w14:paraId="16DDFF7A" w14:textId="618440F2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単語の確認、テキストの予習、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課題提出</w:t>
            </w:r>
          </w:p>
        </w:tc>
      </w:tr>
      <w:tr w:rsidR="00EA182D" w:rsidRPr="00240245" w14:paraId="7A7D0433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66" w:type="dxa"/>
            <w:gridSpan w:val="2"/>
            <w:vAlign w:val="center"/>
          </w:tcPr>
          <w:p w14:paraId="27A703C7" w14:textId="353D2700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4: Communicating clearly </w:t>
            </w:r>
          </w:p>
        </w:tc>
        <w:tc>
          <w:tcPr>
            <w:tcW w:w="3435" w:type="dxa"/>
            <w:gridSpan w:val="2"/>
            <w:vAlign w:val="center"/>
          </w:tcPr>
          <w:p w14:paraId="74584C88" w14:textId="09EC3AB8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単語の確認、テキストの予習、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パラ言語のビデオ視聴</w:t>
            </w:r>
          </w:p>
        </w:tc>
      </w:tr>
      <w:tr w:rsidR="00EA182D" w:rsidRPr="00240245" w14:paraId="48D8EB40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66" w:type="dxa"/>
            <w:gridSpan w:val="2"/>
            <w:vAlign w:val="center"/>
          </w:tcPr>
          <w:p w14:paraId="69AEE241" w14:textId="060DF0C3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5: Culture &amp; Values </w:t>
            </w:r>
          </w:p>
        </w:tc>
        <w:tc>
          <w:tcPr>
            <w:tcW w:w="3435" w:type="dxa"/>
            <w:gridSpan w:val="2"/>
            <w:vAlign w:val="center"/>
          </w:tcPr>
          <w:p w14:paraId="74CF1EAE" w14:textId="0B243418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単語の確認、テキストの予習、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コミュニケーションスタイルのビデオ視聴</w:t>
            </w:r>
          </w:p>
        </w:tc>
      </w:tr>
      <w:tr w:rsidR="00EA182D" w:rsidRPr="00240245" w14:paraId="3CD88821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66" w:type="dxa"/>
            <w:gridSpan w:val="2"/>
            <w:vAlign w:val="center"/>
          </w:tcPr>
          <w:p w14:paraId="19DA7890" w14:textId="5FDA206F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6: Culture &amp; Perception </w:t>
            </w:r>
          </w:p>
        </w:tc>
        <w:tc>
          <w:tcPr>
            <w:tcW w:w="3435" w:type="dxa"/>
            <w:gridSpan w:val="2"/>
            <w:vAlign w:val="center"/>
          </w:tcPr>
          <w:p w14:paraId="76733581" w14:textId="6C8A3D4D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単語の確認、テキストの予習、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視覚幻想の課題提出</w:t>
            </w:r>
          </w:p>
        </w:tc>
      </w:tr>
      <w:tr w:rsidR="00EA182D" w:rsidRPr="00240245" w14:paraId="407C961C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02C34A" w14:textId="073FF847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66" w:type="dxa"/>
            <w:gridSpan w:val="2"/>
            <w:vAlign w:val="center"/>
          </w:tcPr>
          <w:p w14:paraId="4B0AE338" w14:textId="4E1B39FC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Alligator River</w:t>
            </w: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activity, review</w:t>
            </w:r>
          </w:p>
        </w:tc>
        <w:tc>
          <w:tcPr>
            <w:tcW w:w="3435" w:type="dxa"/>
            <w:gridSpan w:val="2"/>
            <w:vAlign w:val="center"/>
          </w:tcPr>
          <w:p w14:paraId="2F35DD6E" w14:textId="17111D48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</w:p>
        </w:tc>
      </w:tr>
      <w:tr w:rsidR="00EA182D" w:rsidRPr="00240245" w14:paraId="750F2615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977F26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0A97D7" w14:textId="3C246EE5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66" w:type="dxa"/>
            <w:gridSpan w:val="2"/>
            <w:vAlign w:val="center"/>
          </w:tcPr>
          <w:p w14:paraId="79700152" w14:textId="058C5576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7: Diversity</w:t>
            </w:r>
          </w:p>
        </w:tc>
        <w:tc>
          <w:tcPr>
            <w:tcW w:w="3435" w:type="dxa"/>
            <w:gridSpan w:val="2"/>
            <w:vAlign w:val="center"/>
          </w:tcPr>
          <w:p w14:paraId="7CF59983" w14:textId="584EBC89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、レポート、テキスト解釈</w:t>
            </w:r>
          </w:p>
        </w:tc>
      </w:tr>
      <w:tr w:rsidR="00EA182D" w:rsidRPr="00240245" w14:paraId="01D8C700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5B32BEEF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6" w:type="dxa"/>
            <w:gridSpan w:val="2"/>
            <w:vAlign w:val="center"/>
          </w:tcPr>
          <w:p w14:paraId="675736BD" w14:textId="73B74C55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8: Stereotypes </w:t>
            </w:r>
          </w:p>
        </w:tc>
        <w:tc>
          <w:tcPr>
            <w:tcW w:w="3435" w:type="dxa"/>
            <w:gridSpan w:val="2"/>
            <w:vAlign w:val="center"/>
          </w:tcPr>
          <w:p w14:paraId="23E0CB02" w14:textId="37010B06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、ビデオ視聴</w:t>
            </w:r>
          </w:p>
        </w:tc>
      </w:tr>
      <w:tr w:rsidR="00EA182D" w:rsidRPr="00240245" w14:paraId="13A643B6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08B4555B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66" w:type="dxa"/>
            <w:gridSpan w:val="2"/>
            <w:vAlign w:val="center"/>
          </w:tcPr>
          <w:p w14:paraId="0D586297" w14:textId="59F8491F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Stereotyping – video &amp; quiz</w:t>
            </w:r>
          </w:p>
        </w:tc>
        <w:tc>
          <w:tcPr>
            <w:tcW w:w="3435" w:type="dxa"/>
            <w:gridSpan w:val="2"/>
            <w:vAlign w:val="center"/>
          </w:tcPr>
          <w:p w14:paraId="46931555" w14:textId="4B95D6BD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単語の確認、テキストの予習、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レポート</w:t>
            </w:r>
          </w:p>
        </w:tc>
      </w:tr>
      <w:tr w:rsidR="00EA182D" w:rsidRPr="00240245" w14:paraId="304E32B6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3F753873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66" w:type="dxa"/>
            <w:gridSpan w:val="2"/>
            <w:vAlign w:val="center"/>
          </w:tcPr>
          <w:p w14:paraId="70129CCC" w14:textId="251A0800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9: Culture Shock – main stages</w:t>
            </w:r>
          </w:p>
        </w:tc>
        <w:tc>
          <w:tcPr>
            <w:tcW w:w="3435" w:type="dxa"/>
            <w:gridSpan w:val="2"/>
            <w:vAlign w:val="center"/>
          </w:tcPr>
          <w:p w14:paraId="10C352DA" w14:textId="6A7167E7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、日本のサブカルチャーのレポート作成</w:t>
            </w:r>
          </w:p>
        </w:tc>
      </w:tr>
      <w:tr w:rsidR="00EA182D" w:rsidRPr="00240245" w14:paraId="27306222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1365A2FE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66" w:type="dxa"/>
            <w:gridSpan w:val="2"/>
            <w:vAlign w:val="center"/>
          </w:tcPr>
          <w:p w14:paraId="3934FE89" w14:textId="72B1A464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10: Culture &amp; Change </w:t>
            </w:r>
          </w:p>
        </w:tc>
        <w:tc>
          <w:tcPr>
            <w:tcW w:w="3435" w:type="dxa"/>
            <w:gridSpan w:val="2"/>
            <w:vAlign w:val="center"/>
          </w:tcPr>
          <w:p w14:paraId="6468E545" w14:textId="306F96CD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  <w:r w:rsidR="0034792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、集団主義のサンプリング</w:t>
            </w:r>
          </w:p>
        </w:tc>
      </w:tr>
      <w:tr w:rsidR="00EA182D" w:rsidRPr="00240245" w14:paraId="02B955BE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29B2E0BD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66" w:type="dxa"/>
            <w:gridSpan w:val="2"/>
            <w:vAlign w:val="center"/>
          </w:tcPr>
          <w:p w14:paraId="78333860" w14:textId="23FC799B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11: Talking about Japan </w:t>
            </w:r>
          </w:p>
        </w:tc>
        <w:tc>
          <w:tcPr>
            <w:tcW w:w="3435" w:type="dxa"/>
            <w:gridSpan w:val="2"/>
            <w:vAlign w:val="center"/>
          </w:tcPr>
          <w:p w14:paraId="3204F1B4" w14:textId="524485EA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単語の確認、テキストの予習</w:t>
            </w:r>
            <w:r w:rsidR="00395EA6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、異文化の一覧表の作成</w:t>
            </w:r>
          </w:p>
        </w:tc>
      </w:tr>
      <w:tr w:rsidR="00EA182D" w:rsidRPr="00240245" w14:paraId="4E72002B" w14:textId="77777777" w:rsidTr="00126EE7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EA182D" w:rsidRPr="006620F4" w:rsidRDefault="00EA182D" w:rsidP="00EA182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0EF0091D" w:rsidR="00EA182D" w:rsidRDefault="00EA182D" w:rsidP="00EA182D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66" w:type="dxa"/>
            <w:gridSpan w:val="2"/>
            <w:vAlign w:val="center"/>
          </w:tcPr>
          <w:p w14:paraId="62D264DB" w14:textId="27D1EABB" w:rsidR="00EA182D" w:rsidRPr="00126EE7" w:rsidRDefault="00EA182D" w:rsidP="00EA182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Unit 12: Becoming a Global Person </w:t>
            </w:r>
          </w:p>
        </w:tc>
        <w:tc>
          <w:tcPr>
            <w:tcW w:w="3435" w:type="dxa"/>
            <w:gridSpan w:val="2"/>
            <w:vAlign w:val="center"/>
          </w:tcPr>
          <w:p w14:paraId="3C742310" w14:textId="6CA97EB1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定期試験の準備</w:t>
            </w:r>
          </w:p>
        </w:tc>
      </w:tr>
      <w:tr w:rsidR="00126EE7" w:rsidRPr="00FB02EC" w14:paraId="1FD06FCF" w14:textId="3B26BCFC" w:rsidTr="00126EE7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5842201C" w:rsidR="00126EE7" w:rsidRPr="00822335" w:rsidRDefault="00126EE7" w:rsidP="00EA182D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lastRenderedPageBreak/>
              <w:t>評価</w:t>
            </w:r>
          </w:p>
        </w:tc>
        <w:tc>
          <w:tcPr>
            <w:tcW w:w="8548" w:type="dxa"/>
            <w:gridSpan w:val="5"/>
            <w:vAlign w:val="center"/>
          </w:tcPr>
          <w:p w14:paraId="395F8079" w14:textId="1A23ABC6" w:rsidR="00126EE7" w:rsidRPr="00057937" w:rsidRDefault="00126EE7" w:rsidP="00EA182D">
            <w:pPr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以下の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5</w:t>
            </w:r>
            <w:r w:rsidRPr="00057937"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つ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の観点から総合的に評価する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ディスカッション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1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0%；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リーディング課題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0%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週ごとのジャーナル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20%; 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課題提出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30%;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学期末試験 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0%　</w:t>
            </w:r>
          </w:p>
        </w:tc>
      </w:tr>
      <w:tr w:rsidR="00EA182D" w:rsidRPr="00FB02EC" w14:paraId="5C792011" w14:textId="77777777" w:rsidTr="00126EE7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42E4AD0" w:rsidR="00EA182D" w:rsidRPr="00FB02EC" w:rsidRDefault="00EA182D" w:rsidP="00EA182D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テキスト</w:t>
            </w:r>
          </w:p>
        </w:tc>
        <w:tc>
          <w:tcPr>
            <w:tcW w:w="8548" w:type="dxa"/>
            <w:gridSpan w:val="5"/>
            <w:vAlign w:val="center"/>
          </w:tcPr>
          <w:p w14:paraId="74723571" w14:textId="42657092" w:rsidR="00EA182D" w:rsidRPr="00126EE7" w:rsidRDefault="00EA182D" w:rsidP="00EA182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EE7">
              <w:rPr>
                <w:rFonts w:ascii="Times New Roman" w:hAnsi="Times New Roman" w:cs="Times New Roman"/>
                <w:sz w:val="20"/>
                <w:szCs w:val="20"/>
              </w:rPr>
              <w:t xml:space="preserve">Vincent, P. (2017). </w:t>
            </w:r>
            <w:r w:rsidRPr="00126E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Speaking of Intercultural Communication</w:t>
            </w:r>
            <w:r w:rsidRPr="00126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6EE7">
              <w:rPr>
                <w:rFonts w:ascii="Times New Roman" w:hAnsi="Times New Roman" w:cs="Times New Roman"/>
                <w:sz w:val="20"/>
                <w:szCs w:val="20"/>
              </w:rPr>
              <w:t>Nan’un</w:t>
            </w:r>
            <w:proofErr w:type="spellEnd"/>
            <w:r w:rsidRPr="00126EE7">
              <w:rPr>
                <w:rFonts w:ascii="Times New Roman" w:hAnsi="Times New Roman" w:cs="Times New Roman"/>
                <w:sz w:val="20"/>
                <w:szCs w:val="20"/>
              </w:rPr>
              <w:t>-do.</w:t>
            </w:r>
          </w:p>
        </w:tc>
      </w:tr>
      <w:tr w:rsidR="00EA182D" w:rsidRPr="00FB02EC" w14:paraId="7786B022" w14:textId="77777777" w:rsidTr="00126EE7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682CB16D" w:rsidR="00EA182D" w:rsidRPr="00FB02EC" w:rsidRDefault="00EA182D" w:rsidP="00EA182D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参考文献</w:t>
            </w:r>
          </w:p>
        </w:tc>
        <w:tc>
          <w:tcPr>
            <w:tcW w:w="8548" w:type="dxa"/>
            <w:gridSpan w:val="5"/>
            <w:vAlign w:val="center"/>
          </w:tcPr>
          <w:p w14:paraId="3683C0C2" w14:textId="441C60C1" w:rsidR="00EA182D" w:rsidRPr="00240245" w:rsidRDefault="00EA182D" w:rsidP="00EA182D">
            <w:pPr>
              <w:autoSpaceDE w:val="0"/>
              <w:autoSpaceDN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EA182D" w:rsidRPr="00FB02EC" w14:paraId="5D67BB64" w14:textId="77777777" w:rsidTr="00126EE7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659871A2" w:rsidR="00EA182D" w:rsidRPr="00822335" w:rsidRDefault="00EA182D" w:rsidP="00EA182D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18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8548" w:type="dxa"/>
            <w:gridSpan w:val="5"/>
            <w:vAlign w:val="center"/>
          </w:tcPr>
          <w:p w14:paraId="393FBDF9" w14:textId="4D12FCCA" w:rsidR="00EA182D" w:rsidRPr="00240245" w:rsidRDefault="00EA182D" w:rsidP="00EA182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Flipgrid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などのアプリが使用できる携帯電話やダブレットが必要。</w:t>
            </w: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A4D5" w14:textId="77777777" w:rsidR="00480CFA" w:rsidRDefault="00480CFA" w:rsidP="001C5D1D">
      <w:r>
        <w:separator/>
      </w:r>
    </w:p>
  </w:endnote>
  <w:endnote w:type="continuationSeparator" w:id="0">
    <w:p w14:paraId="00A33B21" w14:textId="77777777" w:rsidR="00480CFA" w:rsidRDefault="00480CFA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06B3" w14:textId="77777777" w:rsidR="00480CFA" w:rsidRDefault="00480CFA" w:rsidP="001C5D1D">
      <w:r>
        <w:separator/>
      </w:r>
    </w:p>
  </w:footnote>
  <w:footnote w:type="continuationSeparator" w:id="0">
    <w:p w14:paraId="659DB81D" w14:textId="77777777" w:rsidR="00480CFA" w:rsidRDefault="00480CFA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A3207"/>
    <w:multiLevelType w:val="hybridMultilevel"/>
    <w:tmpl w:val="33CEF39A"/>
    <w:lvl w:ilvl="0" w:tplc="19844E7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79866A22"/>
    <w:multiLevelType w:val="hybridMultilevel"/>
    <w:tmpl w:val="18EA3D76"/>
    <w:lvl w:ilvl="0" w:tplc="A0F20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2FF2"/>
    <w:rsid w:val="00003B0F"/>
    <w:rsid w:val="0001117F"/>
    <w:rsid w:val="00045985"/>
    <w:rsid w:val="00047077"/>
    <w:rsid w:val="00057937"/>
    <w:rsid w:val="00067A66"/>
    <w:rsid w:val="0007455A"/>
    <w:rsid w:val="000869F9"/>
    <w:rsid w:val="00095699"/>
    <w:rsid w:val="000A09DC"/>
    <w:rsid w:val="000A2C5B"/>
    <w:rsid w:val="000A6C47"/>
    <w:rsid w:val="000B5B32"/>
    <w:rsid w:val="000C451A"/>
    <w:rsid w:val="000D32B7"/>
    <w:rsid w:val="000F42A7"/>
    <w:rsid w:val="001202AE"/>
    <w:rsid w:val="00126EE7"/>
    <w:rsid w:val="00141DB4"/>
    <w:rsid w:val="00143141"/>
    <w:rsid w:val="00150437"/>
    <w:rsid w:val="001661A6"/>
    <w:rsid w:val="00185C1B"/>
    <w:rsid w:val="001A347B"/>
    <w:rsid w:val="001A3E05"/>
    <w:rsid w:val="001C5D1D"/>
    <w:rsid w:val="00217088"/>
    <w:rsid w:val="002306AE"/>
    <w:rsid w:val="00234218"/>
    <w:rsid w:val="00237A48"/>
    <w:rsid w:val="00240245"/>
    <w:rsid w:val="002441C4"/>
    <w:rsid w:val="0024772B"/>
    <w:rsid w:val="00266716"/>
    <w:rsid w:val="00273D93"/>
    <w:rsid w:val="002816E4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47926"/>
    <w:rsid w:val="00361B97"/>
    <w:rsid w:val="00385F35"/>
    <w:rsid w:val="0038779A"/>
    <w:rsid w:val="00394690"/>
    <w:rsid w:val="00395857"/>
    <w:rsid w:val="00395A0A"/>
    <w:rsid w:val="00395EA6"/>
    <w:rsid w:val="003A56AC"/>
    <w:rsid w:val="003B2BAD"/>
    <w:rsid w:val="003C1379"/>
    <w:rsid w:val="003F0B04"/>
    <w:rsid w:val="003F236C"/>
    <w:rsid w:val="00402CAC"/>
    <w:rsid w:val="00442101"/>
    <w:rsid w:val="004468E6"/>
    <w:rsid w:val="00460BCB"/>
    <w:rsid w:val="004709AC"/>
    <w:rsid w:val="0047456A"/>
    <w:rsid w:val="00480CFA"/>
    <w:rsid w:val="004C34EC"/>
    <w:rsid w:val="004E23FC"/>
    <w:rsid w:val="0050486B"/>
    <w:rsid w:val="00506C4C"/>
    <w:rsid w:val="005135CD"/>
    <w:rsid w:val="00525AA4"/>
    <w:rsid w:val="00530DF3"/>
    <w:rsid w:val="005362FD"/>
    <w:rsid w:val="00572080"/>
    <w:rsid w:val="00573794"/>
    <w:rsid w:val="00590A68"/>
    <w:rsid w:val="00590FEB"/>
    <w:rsid w:val="005C7A6E"/>
    <w:rsid w:val="005D03BA"/>
    <w:rsid w:val="005D0708"/>
    <w:rsid w:val="005E5B6E"/>
    <w:rsid w:val="006038B2"/>
    <w:rsid w:val="00617462"/>
    <w:rsid w:val="006328B3"/>
    <w:rsid w:val="00650853"/>
    <w:rsid w:val="00651570"/>
    <w:rsid w:val="00657999"/>
    <w:rsid w:val="006620F4"/>
    <w:rsid w:val="00682781"/>
    <w:rsid w:val="00682CAB"/>
    <w:rsid w:val="006914C4"/>
    <w:rsid w:val="006B12B2"/>
    <w:rsid w:val="006B6847"/>
    <w:rsid w:val="006B6B67"/>
    <w:rsid w:val="006D131D"/>
    <w:rsid w:val="006D30D0"/>
    <w:rsid w:val="006D5212"/>
    <w:rsid w:val="006E3A1B"/>
    <w:rsid w:val="006E495C"/>
    <w:rsid w:val="006E55BC"/>
    <w:rsid w:val="006E59B8"/>
    <w:rsid w:val="006F09BF"/>
    <w:rsid w:val="00720F21"/>
    <w:rsid w:val="0073285B"/>
    <w:rsid w:val="0073478B"/>
    <w:rsid w:val="00746A52"/>
    <w:rsid w:val="00754413"/>
    <w:rsid w:val="0077028B"/>
    <w:rsid w:val="00770F33"/>
    <w:rsid w:val="007749A0"/>
    <w:rsid w:val="007B0F29"/>
    <w:rsid w:val="007D0EB8"/>
    <w:rsid w:val="007D5A35"/>
    <w:rsid w:val="007E17AA"/>
    <w:rsid w:val="007E6BB4"/>
    <w:rsid w:val="00800053"/>
    <w:rsid w:val="00807035"/>
    <w:rsid w:val="00810D47"/>
    <w:rsid w:val="00817DD4"/>
    <w:rsid w:val="00822335"/>
    <w:rsid w:val="0082791D"/>
    <w:rsid w:val="008327FE"/>
    <w:rsid w:val="008577D8"/>
    <w:rsid w:val="00863871"/>
    <w:rsid w:val="00873130"/>
    <w:rsid w:val="00890FE3"/>
    <w:rsid w:val="008B0797"/>
    <w:rsid w:val="008B662C"/>
    <w:rsid w:val="008B7187"/>
    <w:rsid w:val="008D3EBB"/>
    <w:rsid w:val="008D3F7E"/>
    <w:rsid w:val="008E0D5B"/>
    <w:rsid w:val="009004F5"/>
    <w:rsid w:val="00902A0E"/>
    <w:rsid w:val="009701B9"/>
    <w:rsid w:val="00973097"/>
    <w:rsid w:val="009758A1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4694"/>
    <w:rsid w:val="00A86469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4BD3"/>
    <w:rsid w:val="00B57B43"/>
    <w:rsid w:val="00B6761C"/>
    <w:rsid w:val="00B744EB"/>
    <w:rsid w:val="00B81C9C"/>
    <w:rsid w:val="00BC4CFF"/>
    <w:rsid w:val="00BD6047"/>
    <w:rsid w:val="00BE2B52"/>
    <w:rsid w:val="00BE3409"/>
    <w:rsid w:val="00BE3458"/>
    <w:rsid w:val="00BF5954"/>
    <w:rsid w:val="00C0005E"/>
    <w:rsid w:val="00C030B7"/>
    <w:rsid w:val="00C05FF8"/>
    <w:rsid w:val="00C15E87"/>
    <w:rsid w:val="00C22258"/>
    <w:rsid w:val="00C50E61"/>
    <w:rsid w:val="00C51313"/>
    <w:rsid w:val="00C70AF3"/>
    <w:rsid w:val="00C7656C"/>
    <w:rsid w:val="00C84EA4"/>
    <w:rsid w:val="00C91001"/>
    <w:rsid w:val="00CA40D3"/>
    <w:rsid w:val="00CC1567"/>
    <w:rsid w:val="00CF3DB9"/>
    <w:rsid w:val="00D00B1D"/>
    <w:rsid w:val="00D061C2"/>
    <w:rsid w:val="00D2175D"/>
    <w:rsid w:val="00D32672"/>
    <w:rsid w:val="00D341FC"/>
    <w:rsid w:val="00D67C36"/>
    <w:rsid w:val="00D76BF3"/>
    <w:rsid w:val="00D933BA"/>
    <w:rsid w:val="00DA1411"/>
    <w:rsid w:val="00DB492F"/>
    <w:rsid w:val="00DD74B3"/>
    <w:rsid w:val="00DF5916"/>
    <w:rsid w:val="00E01A2E"/>
    <w:rsid w:val="00E0252F"/>
    <w:rsid w:val="00E067AD"/>
    <w:rsid w:val="00E24232"/>
    <w:rsid w:val="00E24BAE"/>
    <w:rsid w:val="00E61083"/>
    <w:rsid w:val="00E66358"/>
    <w:rsid w:val="00E679F5"/>
    <w:rsid w:val="00E70B86"/>
    <w:rsid w:val="00E73717"/>
    <w:rsid w:val="00E73CF2"/>
    <w:rsid w:val="00E749DE"/>
    <w:rsid w:val="00E969DC"/>
    <w:rsid w:val="00EA182D"/>
    <w:rsid w:val="00EB3903"/>
    <w:rsid w:val="00EB3DD2"/>
    <w:rsid w:val="00EE1814"/>
    <w:rsid w:val="00F00F80"/>
    <w:rsid w:val="00F06C3F"/>
    <w:rsid w:val="00F14BBA"/>
    <w:rsid w:val="00F452EC"/>
    <w:rsid w:val="00F4723F"/>
    <w:rsid w:val="00F507AE"/>
    <w:rsid w:val="00F511B1"/>
    <w:rsid w:val="00F5126E"/>
    <w:rsid w:val="00F5541B"/>
    <w:rsid w:val="00F71F80"/>
    <w:rsid w:val="00F806B9"/>
    <w:rsid w:val="00F9081D"/>
    <w:rsid w:val="00F91CA9"/>
    <w:rsid w:val="00FA6A7A"/>
    <w:rsid w:val="00FB02EC"/>
    <w:rsid w:val="00FC6CF4"/>
    <w:rsid w:val="00FD5CE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  <w:style w:type="character" w:styleId="ab">
    <w:name w:val="Hyperlink"/>
    <w:basedOn w:val="a0"/>
    <w:uiPriority w:val="99"/>
    <w:unhideWhenUsed/>
    <w:rsid w:val="00662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Hironori Hayase</cp:lastModifiedBy>
  <cp:revision>6</cp:revision>
  <cp:lastPrinted>2021-12-14T03:56:00Z</cp:lastPrinted>
  <dcterms:created xsi:type="dcterms:W3CDTF">2021-12-22T01:48:00Z</dcterms:created>
  <dcterms:modified xsi:type="dcterms:W3CDTF">2021-12-22T02:03:00Z</dcterms:modified>
</cp:coreProperties>
</file>